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E4" w:rsidRPr="00ED2CBA" w:rsidRDefault="00D842EF">
      <w:pPr>
        <w:tabs>
          <w:tab w:val="left" w:pos="567"/>
        </w:tabs>
        <w:ind w:left="6237" w:hanging="3402"/>
        <w:jc w:val="right"/>
        <w:rPr>
          <w:sz w:val="24"/>
          <w:szCs w:val="24"/>
        </w:rPr>
      </w:pPr>
      <w:bookmarkStart w:id="0" w:name="_GoBack"/>
      <w:bookmarkEnd w:id="0"/>
      <w:r w:rsidRPr="00ED2CBA">
        <w:rPr>
          <w:sz w:val="24"/>
          <w:szCs w:val="24"/>
        </w:rPr>
        <w:t>УТВЕРЖДЕНА</w:t>
      </w:r>
    </w:p>
    <w:p w:rsidR="00ED2CBA" w:rsidRPr="00ED2CBA" w:rsidRDefault="00D842EF" w:rsidP="00ED2CBA">
      <w:pPr>
        <w:pStyle w:val="52"/>
        <w:shd w:val="clear" w:color="auto" w:fill="auto"/>
        <w:tabs>
          <w:tab w:val="left" w:pos="5245"/>
          <w:tab w:val="left" w:pos="7636"/>
        </w:tabs>
        <w:spacing w:line="240" w:lineRule="auto"/>
        <w:ind w:left="5954"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Чистопольского</w:t>
      </w:r>
      <w:proofErr w:type="spellEnd"/>
      <w:r w:rsidR="00ED2CBA" w:rsidRPr="00ED2CBA">
        <w:rPr>
          <w:rFonts w:ascii="Times New Roman" w:hAnsi="Times New Roman" w:cs="Times New Roman"/>
          <w:sz w:val="24"/>
          <w:szCs w:val="24"/>
          <w:lang w:val="ru-RU" w:eastAsia="ru-RU"/>
        </w:rPr>
        <w:t xml:space="preserve"> сельского поселения Котельничского района Кировской области</w:t>
      </w:r>
    </w:p>
    <w:p w:rsidR="006D7DE4" w:rsidRPr="00ED2CBA" w:rsidRDefault="00D842EF" w:rsidP="00ED2CBA">
      <w:pPr>
        <w:tabs>
          <w:tab w:val="left" w:pos="2865"/>
        </w:tabs>
        <w:jc w:val="right"/>
        <w:rPr>
          <w:sz w:val="24"/>
          <w:szCs w:val="24"/>
        </w:rPr>
      </w:pPr>
      <w:r w:rsidRPr="00ED2CBA">
        <w:rPr>
          <w:sz w:val="24"/>
          <w:szCs w:val="24"/>
        </w:rPr>
        <w:t>от 1</w:t>
      </w:r>
      <w:r w:rsidR="00CE0E41">
        <w:rPr>
          <w:sz w:val="24"/>
          <w:szCs w:val="24"/>
        </w:rPr>
        <w:t>4</w:t>
      </w:r>
      <w:r w:rsidRPr="00ED2CBA">
        <w:rPr>
          <w:sz w:val="24"/>
          <w:szCs w:val="24"/>
        </w:rPr>
        <w:t xml:space="preserve">.01.2022   № </w:t>
      </w:r>
      <w:r w:rsidR="00ED2CBA" w:rsidRPr="00ED2CBA">
        <w:rPr>
          <w:sz w:val="24"/>
          <w:szCs w:val="24"/>
        </w:rPr>
        <w:t>1</w:t>
      </w:r>
    </w:p>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442341">
        <w:rPr>
          <w:b/>
          <w:sz w:val="24"/>
          <w:szCs w:val="24"/>
        </w:rPr>
        <w:t>Чистопольское</w:t>
      </w:r>
      <w:r>
        <w:rPr>
          <w:b/>
          <w:sz w:val="24"/>
          <w:szCs w:val="24"/>
        </w:rPr>
        <w:t xml:space="preserve"> сельское поселение Котельничского района Кировской области  на 2022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r w:rsidR="00630FAA">
        <w:rPr>
          <w:sz w:val="24"/>
          <w:szCs w:val="24"/>
        </w:rPr>
        <w:t>Чистопольское</w:t>
      </w:r>
      <w:r>
        <w:rPr>
          <w:sz w:val="24"/>
          <w:szCs w:val="24"/>
        </w:rPr>
        <w:t xml:space="preserve"> сельское поселение Котельничского района Кировской области  на 2022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1"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1"/>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rPr>
        <w:t>"</w:t>
      </w:r>
      <w:r w:rsidR="00630FAA">
        <w:rPr>
          <w:rFonts w:eastAsia="Calibri"/>
          <w:sz w:val="24"/>
          <w:szCs w:val="24"/>
        </w:rPr>
        <w:t xml:space="preserve"> </w:t>
      </w:r>
      <w:r w:rsidRPr="00630FAA">
        <w:rPr>
          <w:color w:val="000000"/>
          <w:sz w:val="24"/>
          <w:szCs w:val="24"/>
          <w:lang w:eastAsia="ru-RU"/>
        </w:rPr>
        <w:t>(дале</w:t>
      </w:r>
      <w:proofErr w:type="gramStart"/>
      <w:r w:rsidRPr="00630FAA">
        <w:rPr>
          <w:color w:val="000000"/>
          <w:sz w:val="24"/>
          <w:szCs w:val="24"/>
          <w:lang w:eastAsia="ru-RU"/>
        </w:rPr>
        <w:t>е-</w:t>
      </w:r>
      <w:proofErr w:type="gramEnd"/>
      <w:r>
        <w:rPr>
          <w:rFonts w:ascii="yandex-sans" w:hAnsi="yandex-sans"/>
          <w:color w:val="000000"/>
          <w:sz w:val="24"/>
          <w:szCs w:val="24"/>
          <w:lang w:eastAsia="ru-RU"/>
        </w:rPr>
        <w:t xml:space="preserve"> Ф</w:t>
      </w:r>
      <w:r>
        <w:rPr>
          <w:rFonts w:eastAsia="Calibri"/>
          <w:sz w:val="24"/>
          <w:szCs w:val="24"/>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№247-ФЗ "Об обязательных требованиях в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2" w:name="sub_1004"/>
      <w:r>
        <w:rPr>
          <w:rFonts w:eastAsia="Calibri"/>
          <w:sz w:val="24"/>
          <w:szCs w:val="24"/>
        </w:rPr>
        <w:t>Срок реализации Программы - 2022 год</w:t>
      </w:r>
      <w:bookmarkEnd w:id="2"/>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r>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630FAA">
        <w:rPr>
          <w:b/>
          <w:sz w:val="24"/>
          <w:szCs w:val="24"/>
          <w:lang w:eastAsia="ru-RU"/>
        </w:rPr>
        <w:t>.</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r w:rsidR="00630FAA">
        <w:rPr>
          <w:sz w:val="24"/>
          <w:szCs w:val="24"/>
        </w:rPr>
        <w:t>Чистопольское</w:t>
      </w:r>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Чистопольское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постановлением администрации </w:t>
      </w:r>
      <w:proofErr w:type="spellStart"/>
      <w:r>
        <w:rPr>
          <w:rFonts w:eastAsia="Calibri"/>
          <w:sz w:val="24"/>
          <w:szCs w:val="24"/>
        </w:rPr>
        <w:t>Ежихинского</w:t>
      </w:r>
      <w:proofErr w:type="spellEnd"/>
      <w:r>
        <w:rPr>
          <w:rFonts w:eastAsia="Calibri"/>
          <w:sz w:val="24"/>
          <w:szCs w:val="24"/>
        </w:rPr>
        <w:t xml:space="preserve"> сельского поселения от 30.12.2020 № 55 осуществляются следующие мероприятия:</w:t>
      </w:r>
      <w:proofErr w:type="gramEnd"/>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9"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Pr>
          <w:rFonts w:eastAsia="Calibri"/>
          <w:sz w:val="24"/>
          <w:szCs w:val="24"/>
        </w:rPr>
        <w:t>лично</w:t>
      </w:r>
      <w:proofErr w:type="gramEnd"/>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D7DE4" w:rsidRDefault="00D842EF">
      <w:pPr>
        <w:widowControl/>
        <w:contextualSpacing/>
        <w:jc w:val="both"/>
        <w:rPr>
          <w:spacing w:val="2"/>
          <w:sz w:val="24"/>
          <w:szCs w:val="24"/>
          <w:lang w:eastAsia="ru-RU"/>
        </w:rPr>
      </w:pPr>
      <w:r>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r w:rsidR="00DE5C0C">
        <w:rPr>
          <w:bCs/>
          <w:color w:val="000000"/>
          <w:sz w:val="24"/>
          <w:szCs w:val="24"/>
        </w:rPr>
        <w:t xml:space="preserve">Чистопольское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3"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4" w:name="sub_1005"/>
      <w:bookmarkEnd w:id="3"/>
      <w:r>
        <w:rPr>
          <w:rFonts w:eastAsia="Calibri"/>
          <w:sz w:val="24"/>
          <w:szCs w:val="24"/>
        </w:rPr>
        <w:t>Целями реализации Программы являются:</w:t>
      </w:r>
      <w:bookmarkEnd w:id="4"/>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5"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D842EF">
            <w:pPr>
              <w:spacing w:line="256" w:lineRule="auto"/>
              <w:jc w:val="center"/>
              <w:rPr>
                <w:sz w:val="23"/>
                <w:szCs w:val="24"/>
              </w:rPr>
            </w:pPr>
            <w:r>
              <w:rPr>
                <w:sz w:val="23"/>
                <w:szCs w:val="24"/>
              </w:rPr>
              <w:t>2022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5"/>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74" w:rsidRDefault="000C3374">
      <w:r>
        <w:separator/>
      </w:r>
    </w:p>
  </w:endnote>
  <w:endnote w:type="continuationSeparator" w:id="0">
    <w:p w:rsidR="000C3374" w:rsidRDefault="000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74" w:rsidRDefault="000C3374">
      <w:r>
        <w:separator/>
      </w:r>
    </w:p>
  </w:footnote>
  <w:footnote w:type="continuationSeparator" w:id="0">
    <w:p w:rsidR="000C3374" w:rsidRDefault="000C3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5">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6">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0C3374"/>
    <w:rsid w:val="00442341"/>
    <w:rsid w:val="004B3912"/>
    <w:rsid w:val="00630FAA"/>
    <w:rsid w:val="006B0D93"/>
    <w:rsid w:val="006D7DE4"/>
    <w:rsid w:val="0075444E"/>
    <w:rsid w:val="00AA1D49"/>
    <w:rsid w:val="00C60F17"/>
    <w:rsid w:val="00C83020"/>
    <w:rsid w:val="00CE0E41"/>
    <w:rsid w:val="00D842EF"/>
    <w:rsid w:val="00DE5C0C"/>
    <w:rsid w:val="00ED2CBA"/>
    <w:rsid w:val="00EF3714"/>
    <w:rsid w:val="00FB26B6"/>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2022-07-14T15:31:00Z</dcterms:created>
  <dcterms:modified xsi:type="dcterms:W3CDTF">2022-07-14T15:31:00Z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